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2A" w:rsidRPr="0036572A" w:rsidRDefault="0036572A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bookmarkStart w:id="0" w:name="_GoBack"/>
      <w:bookmarkEnd w:id="0"/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 w:rsidRPr="0036572A">
        <w:rPr>
          <w:rFonts w:cs="AgendaPl BoldItalic"/>
          <w:b/>
          <w:bCs/>
          <w:i/>
          <w:iCs/>
          <w:color w:val="004CFF"/>
          <w:sz w:val="32"/>
          <w:szCs w:val="32"/>
        </w:rPr>
        <w:t>Myśli i słowa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0F45BF">
        <w:rPr>
          <w:rFonts w:cs="AgendaPl Bold"/>
          <w:b/>
          <w:bCs/>
          <w:color w:val="004CFF"/>
          <w:sz w:val="32"/>
          <w:szCs w:val="32"/>
        </w:rPr>
        <w:t>7</w:t>
      </w:r>
      <w:r w:rsidRPr="0036572A">
        <w:rPr>
          <w:rFonts w:cs="AgendaPl Bold"/>
          <w:b/>
          <w:bCs/>
          <w:color w:val="004CFF"/>
          <w:sz w:val="32"/>
          <w:szCs w:val="3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492"/>
        <w:gridCol w:w="2493"/>
        <w:gridCol w:w="2493"/>
        <w:gridCol w:w="3117"/>
        <w:gridCol w:w="2496"/>
      </w:tblGrid>
      <w:tr w:rsidR="0036572A" w:rsidRPr="0036572A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="00616FD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="00CC7F70"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tłumaczy, na czym polega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i interpretuje autotematyczną fraszkę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 fraszkami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co go śmieszy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omawia sposoby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przedstawia i omawia problematykę i konwencję obrazowania samodzielnie wybranego cyklu rysunków satyrycznych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>pacer: memy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ujawniającego się we wszystkich utworach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 relacje między nadawcą i osobą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873A7"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="009043E4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Marcin Popkiewicz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 w 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nazywa emocje opisane w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hierarchizuje emocje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 xml:space="preserve">estawia porównanie homeryckie z innymi </w:t>
            </w:r>
            <w:r w:rsidR="00BD4582" w:rsidRPr="00022CCE">
              <w:rPr>
                <w:rFonts w:cs="AgendaPl RegularCondensed"/>
                <w:sz w:val="20"/>
                <w:szCs w:val="20"/>
              </w:rPr>
              <w:lastRenderedPageBreak/>
              <w:t>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wyjaśnia przyczyny zmian emocji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wiersz ze szczególnym uwzględnieniem refleksji 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Joachim Patinir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Patinira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Patinira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lastRenderedPageBreak/>
              <w:t>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wolności narodowej 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D63F07"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problematyki wolności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lastRenderedPageBreak/>
              <w:t>narodowej i 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E4403A" w:rsidRPr="00773ABD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kalendarze </w:t>
            </w:r>
            <w:r w:rsidRPr="00C113A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oryginalny, bogaty w informacje kalendarz historyczny, wprowadza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="00773ABD"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Portret małżonków Arnolfinich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internecie wypowiedzi będące blogami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dlaczego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Michel Piquemal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Karol Konwerski,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Blaki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argumenty związane z 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</w:t>
            </w:r>
            <w:r w:rsidR="007C33B0" w:rsidRPr="00FC76C2">
              <w:rPr>
                <w:rFonts w:cs="AgendaPl RegularCondensed"/>
                <w:sz w:val="20"/>
                <w:szCs w:val="20"/>
              </w:rPr>
              <w:lastRenderedPageBreak/>
              <w:t>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CF66EC"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obejrzanego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wielotworzywową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wielotworzywowej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językowych sposobów obrazowania i znaczeń symbolicznych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EC4BDC" w:rsidRPr="0036572A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D7AB7"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przedstawienie miejsc pamięci związane z walką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mieszka; zwraca szczególną uwagę na postacie i wydarzenia z 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Meandry uczuć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uwzględnieniem relacji międzyludzkich 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ze szczególnym uwzględnieniem kategorii komizmu </w:t>
            </w:r>
          </w:p>
          <w:p w:rsidR="00F8781B" w:rsidRPr="00BD1B13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Banksy, rysunki na murze między Izraelem a Palestyną (street art)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3374EA" w:rsidRPr="00BD1B13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374EA"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Marcin Wandałowski 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A43AFD" w:rsidRPr="00E12CAD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E12CAD">
              <w:rPr>
                <w:rFonts w:cs="AgendaPl RegularCondensed"/>
                <w:sz w:val="20"/>
                <w:szCs w:val="20"/>
              </w:rPr>
              <w:t>,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</w:tc>
      </w:tr>
      <w:tr w:rsidR="00C0235A" w:rsidRPr="0036572A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Jarosław Grzędowicz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Rodolphe Jaquette, 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 w:rsidRPr="0099081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powieść Sienkiewicza 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podaje przykład zdynamizowanego 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t xml:space="preserve">świadomie odbiera tekst z uwzględnieniem środków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lastRenderedPageBreak/>
              <w:t>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odtwarza tok wywodu zaprezentowanego w tekście, na tej 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</w:t>
            </w:r>
            <w:r w:rsid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245B7"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362F6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Aleksander Minorski</w:t>
            </w:r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ikaryjski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Michał Głowiński, Aleksandra Okopień-Sławińska,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="00220CE8"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Richard Carlson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o czym mówi tekst</w:t>
            </w:r>
          </w:p>
          <w:p w:rsidR="00220CE8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20CE8"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omówienia i oceny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 w:rsidR="00F054F3" w:rsidRPr="0036572A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funkcję epitetów złożonych w kontekście innych środków językowych użytych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uwzględnieniem jego przesłania 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t xml:space="preserve">wstępnie określa sytuację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lastRenderedPageBreak/>
              <w:t>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charakteryzuje osobę mówiącą w wierszu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wiersz ze szczególnym uwzględnieniem prezentowanej w nim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postawy</w:t>
            </w:r>
            <w:r w:rsid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o</w:t>
            </w:r>
            <w:r w:rsidRPr="008C17CC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miniwykłady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Max Ehrmann,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wypowiedź związaną z 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A7AD7"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opowiada o relacjach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ocenia relacje 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swoje  refleksje w rozprawce zawierającej hipotezę 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Andrew Wyeth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13D34" w:rsidRPr="00913D3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Hydra lernejska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Poirocie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odwołań do filozofii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Auguste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KSZTAŁCENIE JĘZYKOWE</w:t>
            </w:r>
          </w:p>
        </w:tc>
      </w:tr>
      <w:tr w:rsidR="00C245B7" w:rsidRPr="0036572A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świadomie i funkcjonalnie wykorzystuje wiedzę o różnych rodzajach zdania współrzędnie złożonego dla interpretacji tekstów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cudzych i tworzenia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C12D83" w:rsidRPr="0027476F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12D83"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0109C2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współrzędnie i podrzędnie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złożone 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poprawnie i funkcjonalnie skrótowce i skróty, zapisuje je bezbłędnie 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 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7D65"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w akcie komunikacji 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C7D65"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uczestniczy w różnorodnych aktach komunikacji jako nadawca i odbiorca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WIEM I UMIEM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wypowiedzi argumentacyjne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CC" w:rsidRDefault="009A58CC" w:rsidP="00285D6F">
      <w:pPr>
        <w:spacing w:after="0" w:line="240" w:lineRule="auto"/>
      </w:pPr>
      <w:r>
        <w:separator/>
      </w:r>
    </w:p>
  </w:endnote>
  <w:endnote w:type="continuationSeparator" w:id="0">
    <w:p w:rsidR="009A58CC" w:rsidRDefault="009A58C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A" w:rsidRDefault="00963D8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C8A92" wp14:editId="107CAE3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E110B8C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Nowak</w:t>
    </w:r>
  </w:p>
  <w:p w:rsidR="00963D8A" w:rsidRDefault="00963D8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1752226" wp14:editId="35AC0DE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D85D407" id="Łącznik prostoliniowy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249D572B" wp14:editId="4325CBB6">
          <wp:extent cx="1692442" cy="36896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 wp14:anchorId="430934E8" wp14:editId="533F9287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D8A" w:rsidRDefault="00963D8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E3AEB">
      <w:rPr>
        <w:noProof/>
      </w:rPr>
      <w:t>6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CC" w:rsidRDefault="009A58CC" w:rsidP="00285D6F">
      <w:pPr>
        <w:spacing w:after="0" w:line="240" w:lineRule="auto"/>
      </w:pPr>
      <w:r>
        <w:separator/>
      </w:r>
    </w:p>
  </w:footnote>
  <w:footnote w:type="continuationSeparator" w:id="0">
    <w:p w:rsidR="009A58CC" w:rsidRDefault="009A58C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30B4460" wp14:editId="624AD1E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64034E" wp14:editId="76DFBD7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6E3AEB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A58CC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7B39-5B34-40FB-82AF-C801D1C9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17425</Words>
  <Characters>104551</Characters>
  <Application>Microsoft Office Word</Application>
  <DocSecurity>0</DocSecurity>
  <Lines>871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Monika Zadrożna</cp:lastModifiedBy>
  <cp:revision>2</cp:revision>
  <cp:lastPrinted>2017-06-11T19:17:00Z</cp:lastPrinted>
  <dcterms:created xsi:type="dcterms:W3CDTF">2017-08-31T17:02:00Z</dcterms:created>
  <dcterms:modified xsi:type="dcterms:W3CDTF">2017-08-31T17:02:00Z</dcterms:modified>
</cp:coreProperties>
</file>